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f6"/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173"/>
      </w:tblGrid>
      <w:tr>
        <w:trPr>
          <w:trHeight w:val="854" w:hRule="atLeast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-956" w:firstLine="1135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drawing>
                <wp:anchor behindDoc="0" distT="0" distB="0" distL="114300" distR="114300" simplePos="0" locked="0" layoutInCell="1" allowOverlap="1" relativeHeight="2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140" cy="539750"/>
                  <wp:effectExtent l="0" t="0" r="0" b="0"/>
                  <wp:wrapThrough wrapText="bothSides">
                    <wp:wrapPolygon edited="0">
                      <wp:start x="2929" y="0"/>
                      <wp:lineTo x="1280" y="506"/>
                      <wp:lineTo x="-90" y="5847"/>
                      <wp:lineTo x="-90" y="14251"/>
                      <wp:lineTo x="1558" y="20327"/>
                      <wp:lineTo x="2105" y="20327"/>
                      <wp:lineTo x="5664" y="20327"/>
                      <wp:lineTo x="10599" y="20327"/>
                      <wp:lineTo x="20185" y="15006"/>
                      <wp:lineTo x="20745" y="5101"/>
                      <wp:lineTo x="18541" y="3579"/>
                      <wp:lineTo x="4294" y="0"/>
                      <wp:lineTo x="2929" y="0"/>
                    </wp:wrapPolygon>
                  </wp:wrapThrough>
                  <wp:docPr id="1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6575" t="14636" r="0" b="16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 xml:space="preserve">                                                                     </w:t>
            </w: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>АКЦИОНЕРНОЕ ОБЩЕСТВО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-956" w:hanging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 xml:space="preserve">                </w:t>
            </w: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>«ДАЛЬНЕВОСТОЧНАЯ РАСПРЕДЕЛИТЕЛЬНАЯ СЕТЕВАЯ КОМПАНИЯ»</w:t>
            </w:r>
          </w:p>
        </w:tc>
      </w:tr>
    </w:tbl>
    <w:p>
      <w:pPr>
        <w:pStyle w:val="BodyTextIndent2"/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</w:r>
    </w:p>
    <w:p>
      <w:pPr>
        <w:pStyle w:val="BodyTextIndent2"/>
        <w:jc w:val="center"/>
        <w:rPr>
          <w:b/>
          <w:bCs/>
          <w:caps/>
          <w:sz w:val="24"/>
        </w:rPr>
      </w:pPr>
      <w:r>
        <w:rPr>
          <w:b/>
          <w:sz w:val="24"/>
        </w:rPr>
        <w:t>Протокол №</w:t>
      </w:r>
      <w:r>
        <w:rPr>
          <w:b/>
          <w:bCs/>
          <w:caps/>
          <w:sz w:val="24"/>
        </w:rPr>
        <w:t>1/Р</w:t>
      </w:r>
    </w:p>
    <w:p>
      <w:pPr>
        <w:pStyle w:val="Normal"/>
        <w:suppressAutoHyphens w:val="true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заседания Закупочной комиссии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>
        <w:rPr>
          <w:b/>
          <w:bCs/>
          <w:sz w:val="24"/>
          <w:szCs w:val="24"/>
        </w:rPr>
        <w:t xml:space="preserve">аукциону в электронной форме с участием только субъектов МСП 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право заключения договора на выполнение работ: </w:t>
      </w:r>
    </w:p>
    <w:p>
      <w:pPr>
        <w:pStyle w:val="Normal"/>
        <w:suppressAutoHyphens w:val="true"/>
        <w:spacing w:lineRule="auto" w:line="240"/>
        <w:jc w:val="center"/>
        <w:rPr>
          <w:i/>
          <w:i/>
          <w:iCs/>
        </w:rPr>
      </w:pPr>
      <w:r>
        <w:rPr>
          <w:b/>
          <w:bCs/>
          <w:i/>
          <w:iCs/>
          <w:sz w:val="24"/>
          <w:szCs w:val="24"/>
        </w:rPr>
        <w:t xml:space="preserve">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каждая».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(Лот №302601-КС ПИР СМР-2025-ДРСК-ПЭС).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i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</w:p>
    <w:tbl>
      <w:tblPr>
        <w:tblW w:w="94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209"/>
        <w:gridCol w:w="4254"/>
      </w:tblGrid>
      <w:tr>
        <w:trPr>
          <w:trHeight w:val="302" w:hRule="atLeast"/>
        </w:trPr>
        <w:tc>
          <w:tcPr>
            <w:tcW w:w="5209" w:type="dxa"/>
            <w:tcBorders/>
          </w:tcPr>
          <w:p>
            <w:pPr>
              <w:pStyle w:val="Normal"/>
              <w:widowControl w:val="false"/>
              <w:spacing w:lineRule="auto" w:line="240"/>
              <w:ind w:right="494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 Благовещенск</w:t>
            </w:r>
          </w:p>
        </w:tc>
        <w:tc>
          <w:tcPr>
            <w:tcW w:w="4254" w:type="dxa"/>
            <w:tcBorders/>
          </w:tcPr>
          <w:p>
            <w:pPr>
              <w:pStyle w:val="212"/>
              <w:widowControl w:val="false"/>
              <w:tabs>
                <w:tab w:val="clear" w:pos="708"/>
                <w:tab w:val="right" w:pos="10206" w:leader="none"/>
              </w:tabs>
              <w:ind w:hanging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« 02» апреля 2025 года</w:t>
            </w:r>
          </w:p>
        </w:tc>
      </w:tr>
    </w:tbl>
    <w:p>
      <w:pPr>
        <w:pStyle w:val="NoSpacing"/>
        <w:jc w:val="both"/>
        <w:rPr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</w:p>
    <w:p>
      <w:pPr>
        <w:pStyle w:val="Normal"/>
        <w:suppressAutoHyphens w:val="true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СПОСОБ И ПРЕДМЕТ ЗАКУПКИ: </w:t>
      </w:r>
      <w:r>
        <w:rPr>
          <w:rFonts w:eastAsia="Times New Roman" w:cs="Times New Roman"/>
          <w:bCs/>
          <w:color w:val="auto"/>
          <w:kern w:val="0"/>
          <w:sz w:val="24"/>
          <w:szCs w:val="24"/>
          <w:lang w:val="ru-RU" w:eastAsia="ru-RU" w:bidi="ar-SA"/>
        </w:rPr>
        <w:t>аукцион в электронной форме с участием только субъектов МСП на право заключения договора на выполнение работ 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каждая». (Лот №302601-КС ПИР СМР-2025-ДРСК-ПЭС).</w:t>
      </w:r>
    </w:p>
    <w:p>
      <w:pPr>
        <w:pStyle w:val="Normal"/>
        <w:suppressAutoHyphens w:val="true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ПОДАННЫХ ЗАЯВОК НА УЧАСТИЕ В ЗАКУПКЕ:</w:t>
      </w:r>
      <w:r>
        <w:rPr>
          <w:b/>
          <w:bCs/>
          <w:sz w:val="24"/>
          <w:szCs w:val="24"/>
        </w:rPr>
        <w:t xml:space="preserve"> 11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sz w:val="24"/>
          <w:szCs w:val="24"/>
        </w:rPr>
        <w:t>(одиннадцать) заявок.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1"/>
        <w:gridCol w:w="4111"/>
        <w:gridCol w:w="4677"/>
      </w:tblGrid>
      <w:tr>
        <w:trPr>
          <w:tblHeader w:val="true"/>
          <w:trHeight w:val="42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17.03.2025 06:08:47 MCK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365125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08:07:20 MCK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366164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09:31:20 MCK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366214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10:36:24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366275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13:25:32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366414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13:52:20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366439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15:09:16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366490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15:54:02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366518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17:04:13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366557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20.03.2025 06:45:26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366679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20.03.2025 07:22:30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366690</w:t>
            </w:r>
          </w:p>
        </w:tc>
      </w:tr>
    </w:tbl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b/>
          <w:sz w:val="24"/>
          <w:szCs w:val="24"/>
        </w:rPr>
        <w:t>КОЛИЧЕСТВО ОТКЛОНЕННЫХ ЗАЯВОК: 1</w:t>
      </w:r>
      <w:r>
        <w:rPr>
          <w:sz w:val="24"/>
          <w:szCs w:val="24"/>
        </w:rPr>
        <w:t xml:space="preserve"> (одна) заявка.</w:t>
      </w:r>
    </w:p>
    <w:p>
      <w:pPr>
        <w:pStyle w:val="BodyTextIndent2"/>
        <w:ind w:hanging="0"/>
        <w:rPr>
          <w:b/>
          <w:caps/>
          <w:sz w:val="24"/>
        </w:rPr>
      </w:pPr>
      <w:r>
        <w:rPr>
          <w:b/>
          <w:caps/>
          <w:sz w:val="24"/>
        </w:rPr>
      </w:r>
    </w:p>
    <w:p>
      <w:pPr>
        <w:pStyle w:val="BodyTextIndent2"/>
        <w:ind w:hanging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11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 оценки первых частей заявок.</w:t>
      </w:r>
    </w:p>
    <w:p>
      <w:pPr>
        <w:pStyle w:val="BodyTextIndent2"/>
        <w:numPr>
          <w:ilvl w:val="0"/>
          <w:numId w:val="12"/>
        </w:numPr>
        <w:tabs>
          <w:tab w:val="clear" w:pos="708"/>
          <w:tab w:val="left" w:pos="426" w:leader="none"/>
        </w:tabs>
        <w:ind w:left="0" w:hanging="0"/>
        <w:rPr/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Об отклонении заявки Участника </w:t>
      </w:r>
      <w:r>
        <w:rPr>
          <w:rStyle w:val="Style"/>
          <w:rFonts w:eastAsia="Times New Roman" w:cs="Times New Roman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№ 366439.</w:t>
      </w:r>
    </w:p>
    <w:p>
      <w:pPr>
        <w:pStyle w:val="BodyTextIndent2"/>
        <w:numPr>
          <w:ilvl w:val="0"/>
          <w:numId w:val="13"/>
        </w:numPr>
        <w:tabs>
          <w:tab w:val="clear" w:pos="708"/>
          <w:tab w:val="left" w:pos="426" w:leader="none"/>
        </w:tabs>
        <w:ind w:left="0" w:hanging="0"/>
        <w:rPr>
          <w:bCs/>
          <w:iCs/>
          <w:sz w:val="24"/>
        </w:rPr>
      </w:pPr>
      <w:r>
        <w:rPr>
          <w:sz w:val="24"/>
          <w:szCs w:val="24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>
        <w:rPr>
          <w:sz w:val="24"/>
        </w:rPr>
        <w:t>.</w:t>
      </w:r>
    </w:p>
    <w:p>
      <w:pPr>
        <w:pStyle w:val="Normal"/>
        <w:widowControl w:val="false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 w:val="24"/>
          <w:szCs w:val="24"/>
        </w:rPr>
      </w:pPr>
      <w:r>
        <w:rPr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75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54"/>
        <w:gridCol w:w="4857"/>
        <w:gridCol w:w="4239"/>
      </w:tblGrid>
      <w:tr>
        <w:trPr/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17.03.2025 06:08:47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365125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08:07:20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366164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09:31:20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366214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10:36:24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366275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13:25:32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366414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13:52:20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366439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15:09:16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366490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15:54:02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366518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17:04:13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366557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20.03.2025 06:45:26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366679</w:t>
            </w:r>
          </w:p>
        </w:tc>
      </w:tr>
      <w:tr>
        <w:trPr/>
        <w:tc>
          <w:tcPr>
            <w:tcW w:w="6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5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20.03.2025 07:22:30 MCK</w:t>
            </w:r>
          </w:p>
        </w:tc>
        <w:tc>
          <w:tcPr>
            <w:tcW w:w="4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366690</w:t>
            </w:r>
          </w:p>
        </w:tc>
      </w:tr>
    </w:tbl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5940" w:leader="none"/>
        </w:tabs>
        <w:spacing w:lineRule="auto" w:line="240"/>
        <w:ind w:left="0"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Участника </w:t>
      </w:r>
      <w:r>
        <w:rPr>
          <w:rStyle w:val="Style"/>
          <w:rFonts w:eastAsia="Times New Roman" w:cs="Times New Roman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№ 366439</w:t>
      </w:r>
      <w:r>
        <w:rPr>
          <w:sz w:val="24"/>
          <w:szCs w:val="24"/>
        </w:rPr>
        <w:t xml:space="preserve"> от дальнейшего рассмотрения на основании 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п. </w:t>
      </w:r>
      <w:r>
        <w:rPr>
          <w:rStyle w:val="Style"/>
          <w:rFonts w:eastAsia="Times New Roman" w:cs="Times New Roman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4.9.4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в) Документации о закупке</w:t>
      </w:r>
      <w:r>
        <w:rPr>
          <w:sz w:val="24"/>
          <w:szCs w:val="24"/>
        </w:rPr>
        <w:t>, как несоответствующую следующим требованиям:</w:t>
      </w:r>
    </w:p>
    <w:tbl>
      <w:tblPr>
        <w:tblW w:w="9645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8"/>
        <w:gridCol w:w="8936"/>
      </w:tblGrid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8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Выявленные несоответствия заявки требованиям Документации о закупке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ind w:left="357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 w:val="false"/>
                <w:iCs w:val="false"/>
                <w:sz w:val="24"/>
                <w:szCs w:val="24"/>
                <w:shd w:fill="auto" w:val="clear"/>
              </w:rPr>
              <w:t>В Календарном графике работ участника указаны следующие сроки выполнения работ: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 w:val="false"/>
                <w:iCs w:val="false"/>
                <w:sz w:val="24"/>
                <w:szCs w:val="24"/>
                <w:shd w:fill="auto" w:val="clear"/>
              </w:rPr>
              <w:t>«1. Обследование технического состояния существующего оборудования, сбор исходных данных. Инженерные изыскания: с момента заключения договора в течение 2 календарных месяцев с момента заключения договора;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 w:val="false"/>
                <w:iCs w:val="false"/>
                <w:sz w:val="24"/>
                <w:szCs w:val="24"/>
                <w:shd w:fill="auto" w:val="clear"/>
              </w:rPr>
              <w:t>2. Подготовка документации по планировке территории в виде проекта планировки территории и проекта межевания территории линейного объекта регионального значения. Оформление правоустанавливающих документов на использование земельных участков. Выполнение кадастровых работ: с момента окончания выполнения инженерных изысканий в течение 10 календарных месяцев с момента заключения договора;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 w:val="false"/>
                <w:iCs w:val="false"/>
                <w:sz w:val="24"/>
                <w:szCs w:val="24"/>
                <w:shd w:fill="auto" w:val="clear"/>
              </w:rPr>
              <w:t>3. Разработка основных технических решений (ОТР): с момента окончания выполнения инженерных изысканий в течение 1 календарного месяца с момента окончания выполнения инженерных изысканий;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 w:val="false"/>
                <w:iCs w:val="false"/>
                <w:sz w:val="24"/>
                <w:szCs w:val="24"/>
                <w:shd w:fill="auto" w:val="clear"/>
              </w:rPr>
              <w:t>4. Разработка, согласование с Заказчиком проектной и рабочей документации: с даты окончания работ по разработке и согласовавнияю Заказчиком ОТР в течение 10 календарного месяца с  момента заключения договора;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 w:val="false"/>
                <w:iCs w:val="false"/>
                <w:sz w:val="24"/>
                <w:szCs w:val="24"/>
                <w:shd w:fill="auto" w:val="clear"/>
              </w:rPr>
              <w:t>5. Проведение экспертизы проектной документации и результатов инженерных изысканий, достоверности сметной стоимости строительства: с даты окончания работ по разработке и согласованию  Заказчиком ПД в течение 62-х дней», что не соответствует пункту 2.1.2. Технических требований заказчика: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 w:val="false"/>
                <w:iCs w:val="false"/>
                <w:sz w:val="24"/>
                <w:szCs w:val="24"/>
                <w:shd w:fill="auto" w:val="clear"/>
              </w:rPr>
              <w:t xml:space="preserve">«1. </w:t>
            </w:r>
            <w:r>
              <w:rPr>
                <w:rStyle w:val="Style"/>
                <w:b w:val="false"/>
                <w:i/>
                <w:iCs/>
                <w:sz w:val="24"/>
                <w:szCs w:val="24"/>
                <w:shd w:fill="auto" w:val="clear"/>
              </w:rPr>
              <w:t>Обследование технического состояния существующего оборудования, сбор исходных данных. Инженерные изыскания: с момента заключения договора в течение 1 календарного месяца с момента заключения договора;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/>
                <w:iCs/>
                <w:sz w:val="24"/>
                <w:szCs w:val="24"/>
                <w:shd w:fill="auto" w:val="clear"/>
              </w:rPr>
              <w:t>2. Подготовка документации по планировке территории в виде проекта планировки территории и проекта межевания территории линейного объекта регионального значения. Оформление правоустанавливающих документов на использование земельных участков. Выполнение кадастровых работ: с момента заключения договора подряда в течение 2 календарных месяцев с момента заключения договора;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/>
                <w:iCs/>
                <w:sz w:val="24"/>
                <w:szCs w:val="24"/>
                <w:shd w:fill="auto" w:val="clear"/>
              </w:rPr>
              <w:t>3. Разработка и согласование основных технических решений (ОТР): с момента окончания выполнения инженерных изысканий в течение 3 календарных месяцев с момента заключения договора;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/>
                <w:iCs/>
                <w:sz w:val="24"/>
                <w:szCs w:val="24"/>
                <w:shd w:fill="auto" w:val="clear"/>
              </w:rPr>
              <w:t>4. Разработка, согласование с Заказчиком проектной  и рабочей документации: с момента окончания выполнения инженерных изысканий определяется календарным графиком договора на проектирование, но не более календарного года.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/>
            </w:pPr>
            <w:r>
              <w:rPr>
                <w:rStyle w:val="Style"/>
                <w:b w:val="false"/>
                <w:i/>
                <w:iCs/>
                <w:sz w:val="24"/>
                <w:szCs w:val="24"/>
                <w:shd w:fill="auto" w:val="clear"/>
              </w:rPr>
              <w:t>5. Получение положительного заключения экспертизы проектной документации,  результатов инженерных изысканий, определения сметной стоимости строительства: с даты окончания работ по разработке и согласованию  Заказчиком ПД в течение 62-х дней».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rStyle w:val="Style"/>
                <w:b w:val="false"/>
                <w:i w:val="false"/>
                <w:iCs w:val="false"/>
                <w:sz w:val="24"/>
                <w:szCs w:val="24"/>
                <w:shd w:fill="auto" w:val="clear"/>
              </w:rPr>
              <w:t>Ответ на дополнительный запрос Участником не представлен.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Cs w:val="24"/>
        </w:rPr>
      </w:pPr>
      <w:r>
        <w:rPr>
          <w:szCs w:val="24"/>
        </w:rPr>
        <w:t>Признать первые части заявок следующих Участников:</w:t>
      </w:r>
    </w:p>
    <w:p>
      <w:pPr>
        <w:pStyle w:val="Style15"/>
        <w:widowControl w:val="false"/>
        <w:numPr>
          <w:ilvl w:val="0"/>
          <w:numId w:val="14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365125</w:t>
      </w:r>
    </w:p>
    <w:p>
      <w:pPr>
        <w:pStyle w:val="Style15"/>
        <w:widowControl w:val="false"/>
        <w:numPr>
          <w:ilvl w:val="0"/>
          <w:numId w:val="15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366164</w:t>
      </w:r>
    </w:p>
    <w:p>
      <w:pPr>
        <w:pStyle w:val="Style15"/>
        <w:widowControl w:val="false"/>
        <w:numPr>
          <w:ilvl w:val="0"/>
          <w:numId w:val="16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366214</w:t>
      </w:r>
    </w:p>
    <w:p>
      <w:pPr>
        <w:pStyle w:val="Style15"/>
        <w:widowControl w:val="false"/>
        <w:numPr>
          <w:ilvl w:val="0"/>
          <w:numId w:val="17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366275</w:t>
      </w:r>
    </w:p>
    <w:p>
      <w:pPr>
        <w:pStyle w:val="Style15"/>
        <w:widowControl w:val="false"/>
        <w:numPr>
          <w:ilvl w:val="0"/>
          <w:numId w:val="18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366414</w:t>
      </w:r>
    </w:p>
    <w:p>
      <w:pPr>
        <w:pStyle w:val="Style15"/>
        <w:widowControl w:val="false"/>
        <w:numPr>
          <w:ilvl w:val="0"/>
          <w:numId w:val="19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366490</w:t>
      </w:r>
    </w:p>
    <w:p>
      <w:pPr>
        <w:pStyle w:val="Style15"/>
        <w:widowControl w:val="false"/>
        <w:numPr>
          <w:ilvl w:val="0"/>
          <w:numId w:val="20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366518</w:t>
      </w:r>
    </w:p>
    <w:p>
      <w:pPr>
        <w:pStyle w:val="Style15"/>
        <w:widowControl w:val="false"/>
        <w:numPr>
          <w:ilvl w:val="0"/>
          <w:numId w:val="21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366557</w:t>
      </w:r>
    </w:p>
    <w:p>
      <w:pPr>
        <w:pStyle w:val="Style15"/>
        <w:widowControl w:val="false"/>
        <w:numPr>
          <w:ilvl w:val="0"/>
          <w:numId w:val="22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366679</w:t>
      </w:r>
    </w:p>
    <w:p>
      <w:pPr>
        <w:pStyle w:val="Style15"/>
        <w:widowControl w:val="false"/>
        <w:numPr>
          <w:ilvl w:val="0"/>
          <w:numId w:val="23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Заявка № 366690</w:t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Cs w:val="24"/>
        </w:rPr>
      </w:pPr>
      <w:r>
        <w:rPr>
          <w:szCs w:val="24"/>
        </w:rPr>
        <w:t>соответствующими условиям Документации о закупке и принять их к дальнейшему рассмотрению.условиям Документации о закупке и принять их к дальнейшему рассмотрению.</w:t>
      </w:r>
    </w:p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Секретарь Закупочной комиссии 1 уровня  </w:t>
        <w:tab/>
        <w:tab/>
        <w:t xml:space="preserve">                                        Е.Г. Чуясова</w:t>
      </w:r>
    </w:p>
    <w:p>
      <w:pPr>
        <w:pStyle w:val="Footer"/>
        <w:tabs>
          <w:tab w:val="clear" w:pos="9355"/>
          <w:tab w:val="center" w:pos="4677" w:leader="none"/>
        </w:tabs>
        <w:ind w:hanging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  <w:t>Тел. (4162) 397-268</w:t>
      </w:r>
    </w:p>
    <w:p>
      <w:pPr>
        <w:pStyle w:val="Footer"/>
        <w:tabs>
          <w:tab w:val="clear" w:pos="9355"/>
          <w:tab w:val="center" w:pos="4677" w:leader="none"/>
        </w:tabs>
        <w:ind w:hanging="0"/>
        <w:rPr>
          <w:sz w:val="20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992" w:footer="709" w:bottom="76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290215852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рассмотрения первых частей заявок №1/Р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sz w:val="24"/>
        <w:szCs w:val="24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927" w:hanging="360"/>
        </w:pPr>
        <w:rPr>
          <w:sz w:val="24"/>
          <w:szCs w:val="24"/>
          <w:rFonts w:ascii="Times New Roman" w:hAnsi="Times New Roman"/>
        </w:rPr>
      </w:lvl>
      <w:startOverride w:val="1"/>
    </w:lvlOverride>
  </w:num>
  <w:num w:numId="12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927" w:hanging="360"/>
        </w:pPr>
        <w:rPr>
          <w:sz w:val="24"/>
          <w:szCs w:val="24"/>
          <w:rFonts w:ascii="Times New Roman" w:hAnsi="Times New Roman"/>
        </w:rPr>
      </w:lvl>
    </w:lvlOverride>
  </w:num>
  <w:num w:numId="13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927" w:hanging="360"/>
        </w:pPr>
        <w:rPr>
          <w:sz w:val="24"/>
          <w:szCs w:val="24"/>
          <w:rFonts w:ascii="Times New Roman" w:hAnsi="Times New Roman"/>
        </w:rPr>
      </w:lvl>
    </w:lvlOverride>
  </w:num>
  <w:num w:numId="14">
    <w:abstractNumId w:val="9"/>
    <w:lvlOverride w:ilvl="0">
      <w:startOverride w:val="1"/>
    </w:lvlOverride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c690b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qFormat/>
    <w:rsid w:val="00eb25e3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rsid w:val="002a4f48"/>
    <w:pPr>
      <w:keepNext w:val="true"/>
      <w:numPr>
        <w:ilvl w:val="4"/>
        <w:numId w:val="4"/>
      </w:numPr>
      <w:tabs>
        <w:tab w:val="clear" w:pos="708"/>
        <w:tab w:val="left" w:pos="1080" w:leader="none"/>
      </w:tabs>
      <w:suppressAutoHyphens w:val="true"/>
      <w:spacing w:before="60" w:after="0"/>
      <w:ind w:left="1080" w:hanging="1080"/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6"/>
    <w:qFormat/>
    <w:rsid w:val="002a4f48"/>
    <w:pPr>
      <w:widowControl w:val="false"/>
      <w:numPr>
        <w:ilvl w:val="5"/>
        <w:numId w:val="4"/>
      </w:numPr>
      <w:tabs>
        <w:tab w:val="clear" w:pos="708"/>
        <w:tab w:val="left" w:pos="1080" w:leader="none"/>
      </w:tabs>
      <w:suppressAutoHyphens w:val="true"/>
      <w:spacing w:before="240" w:after="60"/>
      <w:ind w:left="1080" w:hanging="108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7"/>
    <w:qFormat/>
    <w:rsid w:val="002a4f48"/>
    <w:pPr>
      <w:widowControl w:val="false"/>
      <w:numPr>
        <w:ilvl w:val="6"/>
        <w:numId w:val="4"/>
      </w:numPr>
      <w:tabs>
        <w:tab w:val="clear" w:pos="708"/>
        <w:tab w:val="left" w:pos="1440" w:leader="none"/>
      </w:tabs>
      <w:suppressAutoHyphens w:val="true"/>
      <w:spacing w:before="240" w:after="60"/>
      <w:ind w:left="1440" w:hanging="1440"/>
      <w:outlineLvl w:val="6"/>
    </w:pPr>
    <w:rPr>
      <w:sz w:val="26"/>
    </w:rPr>
  </w:style>
  <w:style w:type="paragraph" w:styleId="Heading8">
    <w:name w:val="Heading 8"/>
    <w:basedOn w:val="Normal"/>
    <w:next w:val="Normal"/>
    <w:link w:val="8"/>
    <w:qFormat/>
    <w:rsid w:val="002a4f48"/>
    <w:pPr>
      <w:widowControl w:val="false"/>
      <w:numPr>
        <w:ilvl w:val="7"/>
        <w:numId w:val="4"/>
      </w:numPr>
      <w:suppressAutoHyphens w:val="true"/>
      <w:spacing w:before="240" w:after="60"/>
      <w:outlineLvl w:val="7"/>
    </w:pPr>
    <w:rPr>
      <w:i/>
      <w:sz w:val="26"/>
    </w:rPr>
  </w:style>
  <w:style w:type="paragraph" w:styleId="Heading9">
    <w:name w:val="Heading 9"/>
    <w:basedOn w:val="Normal"/>
    <w:next w:val="Normal"/>
    <w:link w:val="9"/>
    <w:qFormat/>
    <w:rsid w:val="002a4f48"/>
    <w:pPr>
      <w:widowControl w:val="false"/>
      <w:numPr>
        <w:ilvl w:val="8"/>
        <w:numId w:val="4"/>
      </w:numPr>
      <w:tabs>
        <w:tab w:val="clear" w:pos="708"/>
        <w:tab w:val="left" w:pos="1800" w:leader="none"/>
      </w:tabs>
      <w:suppressAutoHyphens w:val="true"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" w:customStyle="1">
    <w:name w:val="комментарий"/>
    <w:qFormat/>
    <w:rsid w:val="003c690b"/>
    <w:rPr>
      <w:b/>
      <w:i/>
      <w:shd w:fill="FFFF99" w:val="clear"/>
    </w:rPr>
  </w:style>
  <w:style w:type="character" w:styleId="Style1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semiHidden/>
    <w:unhideWhenUsed/>
    <w:rsid w:val="00c02479"/>
    <w:rPr>
      <w:color w:val="0000FF"/>
      <w:u w:val="single"/>
    </w:rPr>
  </w:style>
  <w:style w:type="character" w:styleId="Style2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3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4" w:customStyle="1">
    <w:name w:val="Нижний колонтитул Знак"/>
    <w:basedOn w:val="DefaultParagraphFont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eb25e3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2"/>
    <w:qFormat/>
    <w:rsid w:val="00f3674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5" w:customStyle="1">
    <w:name w:val="Подподпункт Знак"/>
    <w:link w:val="Style13"/>
    <w:qFormat/>
    <w:locked/>
    <w:rsid w:val="00b6720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uiPriority w:val="99"/>
    <w:qFormat/>
    <w:rsid w:val="005936f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5" w:customStyle="1">
    <w:name w:val="Заголовок 5 Знак"/>
    <w:basedOn w:val="DefaultParagraphFont"/>
    <w:qFormat/>
    <w:rsid w:val="002a4f4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" w:customStyle="1">
    <w:name w:val="Заголовок 6 Знак"/>
    <w:basedOn w:val="DefaultParagraphFont"/>
    <w:qFormat/>
    <w:rsid w:val="002a4f4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" w:customStyle="1">
    <w:name w:val="Заголовок 7 Знак"/>
    <w:basedOn w:val="DefaultParagraphFont"/>
    <w:qFormat/>
    <w:rsid w:val="002a4f4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" w:customStyle="1">
    <w:name w:val="Заголовок 8 Знак"/>
    <w:basedOn w:val="DefaultParagraphFont"/>
    <w:qFormat/>
    <w:rsid w:val="002a4f4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" w:customStyle="1">
    <w:name w:val="Заголовок 9 Знак"/>
    <w:basedOn w:val="DefaultParagraphFont"/>
    <w:qFormat/>
    <w:rsid w:val="002a4f48"/>
    <w:rPr>
      <w:rFonts w:ascii="Arial" w:hAnsi="Arial" w:eastAsia="Times New Roman" w:cs="Times New Roman"/>
      <w:szCs w:val="20"/>
      <w:lang w:eastAsia="ru-RU"/>
    </w:rPr>
  </w:style>
  <w:style w:type="character" w:styleId="Style6">
    <w:name w:val="Символ сноски"/>
    <w:qFormat/>
    <w:rsid w:val="00e03b2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Текст сноски Знак"/>
    <w:basedOn w:val="DefaultParagraphFont"/>
    <w:qFormat/>
    <w:rsid w:val="00e03b23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>
    <w:name w:val="Символ нумерации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S Gothic" w:cs="Tahoma"/>
      <w:sz w:val="28"/>
      <w:szCs w:val="28"/>
    </w:rPr>
  </w:style>
  <w:style w:type="paragraph" w:styleId="BodyText">
    <w:name w:val="Body Text"/>
    <w:basedOn w:val="Normal"/>
    <w:link w:val="Style1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ascii="Arial" w:hAnsi="Arial" w:cs="Tahoma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2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4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2" w:customStyle="1">
    <w:name w:val="Пункт"/>
    <w:basedOn w:val="Normal"/>
    <w:link w:val="22"/>
    <w:qFormat/>
    <w:rsid w:val="00eb25e3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2"/>
    <w:uiPriority w:val="99"/>
    <w:qFormat/>
    <w:rsid w:val="00eb25e3"/>
    <w:pPr>
      <w:keepNext w:val="true"/>
      <w:outlineLvl w:val="2"/>
    </w:pPr>
    <w:rPr>
      <w:b/>
    </w:rPr>
  </w:style>
  <w:style w:type="paragraph" w:styleId="25" w:customStyle="1">
    <w:name w:val="Основной текст 25"/>
    <w:basedOn w:val="Normal"/>
    <w:qFormat/>
    <w:rsid w:val="00a02900"/>
    <w:pPr>
      <w:spacing w:lineRule="auto" w:line="240"/>
    </w:pPr>
    <w:rPr>
      <w:sz w:val="24"/>
    </w:rPr>
  </w:style>
  <w:style w:type="paragraph" w:styleId="NoSpacing">
    <w:name w:val="No Spacing"/>
    <w:uiPriority w:val="1"/>
    <w:qFormat/>
    <w:rsid w:val="002e78c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3" w:customStyle="1">
    <w:name w:val="Подподпункт"/>
    <w:basedOn w:val="Normal"/>
    <w:link w:val="Style5"/>
    <w:qFormat/>
    <w:rsid w:val="00b67206"/>
    <w:pPr>
      <w:tabs>
        <w:tab w:val="clear" w:pos="708"/>
        <w:tab w:val="left" w:pos="1844" w:leader="none"/>
      </w:tabs>
      <w:ind w:left="1844" w:hanging="567"/>
    </w:pPr>
    <w:rPr/>
  </w:style>
  <w:style w:type="paragraph" w:styleId="Style14" w:customStyle="1">
    <w:name w:val="Таблица шапка"/>
    <w:basedOn w:val="Normal"/>
    <w:qFormat/>
    <w:rsid w:val="00a12b91"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BodyTextIndent3">
    <w:name w:val="Body Text Indent 3"/>
    <w:basedOn w:val="Normal"/>
    <w:link w:val="31"/>
    <w:uiPriority w:val="99"/>
    <w:unhideWhenUsed/>
    <w:qFormat/>
    <w:rsid w:val="005936ff"/>
    <w:pPr>
      <w:spacing w:before="0" w:after="120"/>
      <w:ind w:left="283" w:firstLine="567"/>
    </w:pPr>
    <w:rPr>
      <w:sz w:val="16"/>
      <w:szCs w:val="16"/>
    </w:rPr>
  </w:style>
  <w:style w:type="paragraph" w:styleId="212" w:customStyle="1">
    <w:name w:val="Основной текст 21"/>
    <w:basedOn w:val="Normal"/>
    <w:qFormat/>
    <w:rsid w:val="00861852"/>
    <w:pPr>
      <w:spacing w:lineRule="auto" w:line="240"/>
    </w:pPr>
    <w:rPr>
      <w:sz w:val="24"/>
    </w:rPr>
  </w:style>
  <w:style w:type="paragraph" w:styleId="FootnoteText">
    <w:name w:val="Footnote Text"/>
    <w:basedOn w:val="Normal"/>
    <w:link w:val="Style7"/>
    <w:rsid w:val="00e03b23"/>
    <w:pPr>
      <w:spacing w:lineRule="auto" w:line="240"/>
    </w:pPr>
    <w:rPr>
      <w:sz w:val="20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>
    <w:name w:val="Заголовок таблицы"/>
    <w:basedOn w:val="Style15"/>
    <w:qFormat/>
    <w:pPr>
      <w:suppressLineNumbers/>
      <w:jc w:val="center"/>
    </w:pPr>
    <w:rPr>
      <w:b/>
      <w:bCs/>
    </w:rPr>
  </w:style>
  <w:style w:type="paragraph" w:styleId="CaptionFirstLine">
    <w:name w:val="captionFirstLine"/>
    <w:basedOn w:val="Text1"/>
    <w:next w:val="Text1"/>
    <w:qFormat/>
    <w:pPr>
      <w:keepNext w:val="false"/>
      <w:keepLines w:val="false"/>
      <w:pageBreakBefore/>
      <w:widowControl w:val="false"/>
      <w:jc w:val="center"/>
    </w:pPr>
    <w:rPr/>
  </w:style>
  <w:style w:type="paragraph" w:styleId="Pagebreaker">
    <w:name w:val="pagebreaker"/>
    <w:basedOn w:val="Text1"/>
    <w:next w:val="Text1"/>
    <w:qFormat/>
    <w:pPr>
      <w:keepNext w:val="true"/>
      <w:widowControl/>
    </w:pPr>
    <w:rPr/>
  </w:style>
  <w:style w:type="paragraph" w:styleId="Centered">
    <w:name w:val="centered"/>
    <w:basedOn w:val="Text1"/>
    <w:next w:val="Text1"/>
    <w:qFormat/>
    <w:pPr>
      <w:jc w:val="center"/>
    </w:pPr>
    <w:rPr/>
  </w:style>
  <w:style w:type="paragraph" w:styleId="Style17">
    <w:name w:val="Текст"/>
    <w:basedOn w:val="Caption1"/>
    <w:qFormat/>
    <w:pPr/>
    <w:rPr/>
  </w:style>
  <w:style w:type="paragraph" w:styleId="Variable">
    <w:name w:val="variable"/>
    <w:basedOn w:val="Text1"/>
    <w:next w:val="Text1"/>
    <w:qFormat/>
    <w:pPr/>
    <w:rPr>
      <w:b/>
    </w:rPr>
  </w:style>
  <w:style w:type="paragraph" w:styleId="PrintSubChapter">
    <w:name w:val="printSubChapter"/>
    <w:basedOn w:val="Heading3"/>
    <w:next w:val="Text1"/>
    <w:qFormat/>
    <w:pPr>
      <w:numPr>
        <w:ilvl w:val="0"/>
        <w:numId w:val="0"/>
      </w:numPr>
      <w:ind w:left="0" w:right="0" w:hanging="0"/>
      <w:outlineLvl w:val="9"/>
    </w:pPr>
    <w:rPr>
      <w:sz w:val="26"/>
    </w:rPr>
  </w:style>
  <w:style w:type="paragraph" w:styleId="PrintChapter">
    <w:name w:val="printChapter"/>
    <w:basedOn w:val="Heading2"/>
    <w:next w:val="Text1"/>
    <w:qFormat/>
    <w:pPr>
      <w:numPr>
        <w:ilvl w:val="0"/>
        <w:numId w:val="0"/>
      </w:numPr>
      <w:ind w:left="0" w:right="0" w:hanging="0"/>
      <w:outlineLvl w:val="9"/>
    </w:pPr>
    <w:rPr>
      <w:sz w:val="28"/>
    </w:rPr>
  </w:style>
  <w:style w:type="paragraph" w:styleId="Print">
    <w:name w:val="print"/>
    <w:basedOn w:val="Heading1"/>
    <w:next w:val="Text1"/>
    <w:qFormat/>
    <w:pPr>
      <w:numPr>
        <w:ilvl w:val="0"/>
        <w:numId w:val="0"/>
      </w:numPr>
      <w:ind w:left="0" w:right="0" w:hanging="0"/>
      <w:outlineLvl w:val="9"/>
    </w:pPr>
    <w:rPr/>
  </w:style>
  <w:style w:type="paragraph" w:styleId="Messagesubcaption">
    <w:name w:val="messagesubcaption"/>
    <w:basedOn w:val="Text1"/>
    <w:next w:val="Text1"/>
    <w:qFormat/>
    <w:pPr>
      <w:jc w:val="center"/>
    </w:pPr>
    <w:rPr>
      <w:b w:val="false"/>
      <w:caps w:val="false"/>
      <w:smallCaps w:val="false"/>
    </w:rPr>
  </w:style>
  <w:style w:type="paragraph" w:styleId="Messagecaption">
    <w:name w:val="messagecaption"/>
    <w:basedOn w:val="Text1"/>
    <w:next w:val="Text1"/>
    <w:qFormat/>
    <w:pPr>
      <w:spacing w:lineRule="atLeast" w:line="0"/>
      <w:jc w:val="center"/>
    </w:pPr>
    <w:rPr>
      <w:b/>
      <w:caps/>
    </w:rPr>
  </w:style>
  <w:style w:type="paragraph" w:styleId="Layout2">
    <w:name w:val="layout2"/>
    <w:basedOn w:val="Heading3"/>
    <w:next w:val="Text1"/>
    <w:qFormat/>
    <w:pPr>
      <w:numPr>
        <w:ilvl w:val="0"/>
        <w:numId w:val="0"/>
      </w:numPr>
      <w:ind w:left="0" w:right="0" w:hanging="0"/>
      <w:outlineLvl w:val="9"/>
    </w:pPr>
    <w:rPr>
      <w:sz w:val="26"/>
    </w:rPr>
  </w:style>
  <w:style w:type="paragraph" w:styleId="Layout1">
    <w:name w:val="layout1"/>
    <w:basedOn w:val="Heading2"/>
    <w:next w:val="Text1"/>
    <w:qFormat/>
    <w:pPr>
      <w:numPr>
        <w:ilvl w:val="0"/>
        <w:numId w:val="0"/>
      </w:numPr>
      <w:ind w:left="0" w:right="0" w:hanging="0"/>
      <w:outlineLvl w:val="9"/>
    </w:pPr>
    <w:rPr/>
  </w:style>
  <w:style w:type="paragraph" w:styleId="Layout0">
    <w:name w:val="layout0"/>
    <w:basedOn w:val="Heading1"/>
    <w:next w:val="Text1"/>
    <w:qFormat/>
    <w:pPr>
      <w:numPr>
        <w:ilvl w:val="0"/>
        <w:numId w:val="0"/>
      </w:numPr>
      <w:ind w:left="0" w:right="0" w:hanging="0"/>
      <w:outlineLvl w:val="9"/>
    </w:pPr>
    <w:rPr>
      <w:b/>
      <w:sz w:val="32"/>
    </w:rPr>
  </w:style>
  <w:style w:type="paragraph" w:styleId="Text1">
    <w:name w:val="text1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Lucida Sans Unicode" w:cs="Tahoma"/>
      <w:color w:val="auto"/>
      <w:kern w:val="2"/>
      <w:sz w:val="24"/>
      <w:szCs w:val="24"/>
      <w:lang w:val="ru-RU" w:eastAsia="ru-RU" w:bidi="ru-RU"/>
    </w:rPr>
  </w:style>
  <w:style w:type="paragraph" w:styleId="Publication">
    <w:name w:val="publication"/>
    <w:basedOn w:val="Normal"/>
    <w:next w:val="Text1"/>
    <w:qFormat/>
    <w:pPr>
      <w:spacing w:lineRule="auto" w:line="240"/>
    </w:pPr>
    <w:rPr>
      <w:rFonts w:ascii="Arial" w:hAnsi="Arial" w:cs="Arial"/>
      <w:b w:val="false"/>
      <w:color w:val="FFFFFF"/>
      <w:sz w:val="22"/>
      <w:shd w:fill="000000" w:val="clear"/>
    </w:rPr>
  </w:style>
  <w:style w:type="paragraph" w:styleId="12">
    <w:name w:val="Библиография 1"/>
    <w:basedOn w:val="Style10"/>
    <w:qFormat/>
    <w:pPr>
      <w:tabs>
        <w:tab w:val="clear" w:pos="708"/>
        <w:tab w:val="right" w:pos="9637" w:leader="dot"/>
      </w:tabs>
      <w:ind w:left="0" w:right="0" w:hanging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Times New Roman" w:hAnsi="Times New Roman" w:cs="Tahoma"/>
      <w:i/>
      <w:iCs/>
      <w:sz w:val="20"/>
      <w:szCs w:val="24"/>
    </w:rPr>
  </w:style>
  <w:style w:type="paragraph" w:styleId="Subtitle">
    <w:name w:val="Subtitle"/>
    <w:basedOn w:val="Style9"/>
    <w:next w:val="BodyText"/>
    <w:qFormat/>
    <w:pPr>
      <w:jc w:val="center"/>
    </w:pPr>
    <w:rPr>
      <w:i/>
      <w:iCs/>
      <w:sz w:val="28"/>
      <w:szCs w:val="28"/>
    </w:rPr>
  </w:style>
  <w:style w:type="paragraph" w:styleId="FirstLineIndent">
    <w:name w:val="First Line Indent"/>
    <w:basedOn w:val="BodyText"/>
    <w:qFormat/>
    <w:pPr>
      <w:ind w:left="0" w:right="0" w:firstLine="283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a1402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C3666-5697-43D2-AA0B-4B8294B3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Application>AlterOffice/3.3.1.3$Linux_X86_64 LibreOffice_project/90d829a0d92d6015ad4fa014ce4f460a7fe6c0ba</Application>
  <AppVersion>15.0000</AppVersion>
  <Pages>3</Pages>
  <Words>819</Words>
  <Characters>5237</Characters>
  <CharactersWithSpaces>6058</CharactersWithSpaces>
  <Paragraphs>130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2019-01-25T02:38:00Z</dcterms:created>
  <dc:creator>okzt5</dc:creator>
  <dc:description/>
  <dc:language>ru-RU</dc:language>
  <cp:lastModifiedBy>chuyasova_eg</cp:lastModifiedBy>
  <cp:lastPrinted>2023-01-30T05:06:00Z</cp:lastPrinted>
  <dcterms:modified xsi:type="dcterms:W3CDTF">2025-04-02T09:38:22Z</dcterms:modified>
  <cp:revision>113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